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2"/>
        </w:rPr>
        <w:t>Procès-verbal d'assemblée générale des copropriétaires</w:t>
      </w:r>
    </w:p>
    <w:p>
      <w:pPr>
        <w:spacing w:after="120"/>
      </w:pPr>
      <w:r>
        <w:rPr>
          <w:i/>
          <w:color w:val="595959"/>
          <w:sz w:val="20"/>
        </w:rPr>
        <w:t>Copropriété régie par la loi n° 65-557 du 10 juillet 1965 et le décret n° 67-223 du 17 mars 1967. Le procès-verbal consigne les décisions, pas les débats. Les mentions entre crochets sont à compléter ou à supprimer.</w:t>
      </w:r>
    </w:p>
    <w:p>
      <w:pPr>
        <w:spacing w:after="80"/>
      </w:pPr>
      <w:r>
        <w:rPr>
          <w:b/>
        </w:rPr>
        <w:t xml:space="preserve">Syndicat des copropriétaires : </w:t>
      </w:r>
      <w:r>
        <w:t>[nom de l'immeuble], [adresse]</w:t>
      </w:r>
    </w:p>
    <w:p>
      <w:pPr>
        <w:spacing w:after="80"/>
      </w:pPr>
      <w:r>
        <w:rPr>
          <w:b/>
        </w:rPr>
        <w:t xml:space="preserve">Assemblée générale : </w:t>
      </w:r>
      <w:r>
        <w:t>[ordinaire / extraordinaire]</w:t>
      </w:r>
    </w:p>
    <w:p>
      <w:pPr>
        <w:spacing w:after="80"/>
      </w:pPr>
      <w:r>
        <w:rPr>
          <w:b/>
        </w:rPr>
        <w:t xml:space="preserve">Date, heure et lieu : </w:t>
      </w:r>
      <w:r>
        <w:t>[JJ/MM/AAAA à HHhMM], [adresse] [et visioconférence]</w:t>
      </w:r>
    </w:p>
    <w:p>
      <w:pPr>
        <w:spacing w:after="80"/>
      </w:pPr>
      <w:r>
        <w:rPr>
          <w:b/>
        </w:rPr>
        <w:t xml:space="preserve">Convocation : </w:t>
      </w:r>
      <w:r>
        <w:t>notifiée le [date] par [le syndic]</w:t>
      </w:r>
    </w:p>
    <w:p>
      <w:pPr>
        <w:spacing w:after="80"/>
      </w:pPr>
      <w:r>
        <w:rPr>
          <w:b/>
        </w:rPr>
        <w:t xml:space="preserve">Syndic : </w:t>
      </w:r>
      <w:r>
        <w:t>[dénomination], représenté par [prénom NOM]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1. Feuille de présence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36"/>
        <w:gridCol w:w="2268"/>
        <w:gridCol w:w="2835"/>
      </w:tblGrid>
      <w:tr>
        <w:tc>
          <w:tcPr>
            <w:tcW w:type="dxa" w:w="4536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Copropriétaires</w:t>
            </w:r>
          </w:p>
        </w:tc>
        <w:tc>
          <w:tcPr>
            <w:tcW w:type="dxa" w:w="226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Nombre</w:t>
            </w:r>
          </w:p>
        </w:tc>
        <w:tc>
          <w:tcPr>
            <w:tcW w:type="dxa" w:w="2835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Tantièmes</w:t>
            </w:r>
          </w:p>
        </w:tc>
      </w:tr>
      <w:tr>
        <w:tc>
          <w:tcPr>
            <w:tcW w:type="dxa" w:w="45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Présents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Représentés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Votants par correspondance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Absents non représentés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45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8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 / [1 000 ou 10 000]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 xml:space="preserve">Pouvoirs remis sans indication de mandataire : </w:t>
      </w:r>
      <w:r>
        <w:t>[nombre], distribués par [président du conseil syndical / membre du conseil syndical / président de séance] à [noms]</w:t>
      </w:r>
    </w:p>
    <w:p>
      <w:pPr>
        <w:spacing w:after="120"/>
      </w:pPr>
      <w:r>
        <w:rPr>
          <w:i/>
          <w:color w:val="595959"/>
          <w:sz w:val="20"/>
        </w:rPr>
        <w:t>La feuille de présence, émargée et certifiée exacte par le président de séance, est annexée au procès-verbal (articles 14 et 17 du décret).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2. Bureau de séance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2041"/>
        <w:gridCol w:w="1474"/>
        <w:gridCol w:w="2098"/>
        <w:gridCol w:w="2098"/>
      </w:tblGrid>
      <w:tr>
        <w:tc>
          <w:tcPr>
            <w:tcW w:type="dxa" w:w="192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204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Prénom NOM</w:t>
            </w:r>
          </w:p>
        </w:tc>
        <w:tc>
          <w:tcPr>
            <w:tcW w:type="dxa" w:w="147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Pour (tantièmes)</w:t>
            </w:r>
          </w:p>
        </w:tc>
        <w:tc>
          <w:tcPr>
            <w:tcW w:type="dxa" w:w="209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Contre : noms et tantièmes</w:t>
            </w:r>
          </w:p>
        </w:tc>
        <w:tc>
          <w:tcPr>
            <w:tcW w:type="dxa" w:w="209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Abstention : noms et tantièmes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Président(e) de séance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Scrutateur(s)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Secrétaire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[le syndic, sauf décision contraire]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0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i/>
          <w:color w:val="595959"/>
          <w:sz w:val="20"/>
        </w:rPr>
        <w:t>Le syndic assure le secrétariat de la séance, sauf décision contraire de l'assemblée (article 15 du décret). Il ne peut pas présider l'assemblée.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3. Ordre du jour</w:t>
      </w:r>
    </w:p>
    <w:p>
      <w:pPr>
        <w:pStyle w:val="ListBullet"/>
        <w:spacing w:after="60"/>
      </w:pPr>
      <w:r>
        <w:t>Approbation des comptes de l'exercice [année]</w:t>
      </w:r>
    </w:p>
    <w:p>
      <w:pPr>
        <w:pStyle w:val="ListBullet"/>
        <w:spacing w:after="60"/>
      </w:pPr>
      <w:r>
        <w:t>Quitus au syndic</w:t>
      </w:r>
    </w:p>
    <w:p>
      <w:pPr>
        <w:pStyle w:val="ListBullet"/>
        <w:spacing w:after="60"/>
      </w:pPr>
      <w:r>
        <w:t>Désignation du syndic et approbation de son contrat</w:t>
      </w:r>
    </w:p>
    <w:p>
      <w:pPr>
        <w:pStyle w:val="ListBullet"/>
        <w:spacing w:after="60"/>
      </w:pPr>
      <w:r>
        <w:t>Budget prévisionnel de l'exercice [année]</w:t>
      </w:r>
    </w:p>
    <w:p>
      <w:pPr>
        <w:pStyle w:val="ListBullet"/>
        <w:spacing w:after="60"/>
      </w:pPr>
      <w:r>
        <w:t>Désignation des membres du conseil syndical</w:t>
      </w:r>
    </w:p>
    <w:p>
      <w:pPr>
        <w:pStyle w:val="ListBullet"/>
        <w:spacing w:after="60"/>
      </w:pPr>
      <w:r>
        <w:t>Travaux : [objet, devis, financement]</w:t>
      </w:r>
    </w:p>
    <w:p>
      <w:pPr>
        <w:pStyle w:val="ListBullet"/>
        <w:spacing w:after="60"/>
      </w:pPr>
      <w:r>
        <w:t>Questions diverses (sans vote)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4. Résolutions</w:t>
      </w:r>
    </w:p>
    <w:p>
      <w:pPr>
        <w:spacing w:after="120"/>
      </w:pPr>
      <w:r>
        <w:rPr>
          <w:i/>
          <w:color w:val="595959"/>
          <w:sz w:val="20"/>
        </w:rPr>
        <w:t>Pour chaque question inscrite à l'ordre du jour : le texte voté, la majorité applicable et le résultat. Les noms et le nombre de voix des copropriétaires qui ont voté contre, qui se sont abstenus ou qui sont assimilés à des défaillants doivent figurer (article 17 du décret).</w:t>
      </w:r>
    </w:p>
    <w:p>
      <w:pPr>
        <w:spacing w:after="80"/>
      </w:pPr>
      <w:r>
        <w:rPr>
          <w:b/>
        </w:rPr>
        <w:t xml:space="preserve">Résolution n° 1 : </w:t>
      </w:r>
      <w:r>
        <w:t>[intitulé de la question inscrite à l'ordre du jour]</w:t>
      </w:r>
    </w:p>
    <w:p>
      <w:pPr>
        <w:spacing w:after="80"/>
      </w:pPr>
      <w:r>
        <w:rPr>
          <w:b/>
        </w:rPr>
        <w:t xml:space="preserve">Texte soumis au vote : </w:t>
      </w:r>
      <w:r>
        <w:t>[rédaction exacte]</w:t>
      </w:r>
    </w:p>
    <w:p>
      <w:pPr>
        <w:spacing w:after="80"/>
      </w:pPr>
      <w:r>
        <w:rPr>
          <w:b/>
        </w:rPr>
        <w:t xml:space="preserve">Majorité applicable : </w:t>
      </w:r>
      <w:r>
        <w:t>[article 24 / article 25 / article 26 de la loi du 10 juillet 1965 / unanimité]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1587"/>
        <w:gridCol w:w="1361"/>
        <w:gridCol w:w="4082"/>
      </w:tblGrid>
      <w:tr>
        <w:tc>
          <w:tcPr>
            <w:tcW w:type="dxa" w:w="260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Vote</w:t>
            </w:r>
          </w:p>
        </w:tc>
        <w:tc>
          <w:tcPr>
            <w:tcW w:type="dxa" w:w="158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Copropriétaires</w:t>
            </w:r>
          </w:p>
        </w:tc>
        <w:tc>
          <w:tcPr>
            <w:tcW w:type="dxa" w:w="136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Tantièmes</w:t>
            </w:r>
          </w:p>
        </w:tc>
        <w:tc>
          <w:tcPr>
            <w:tcW w:type="dxa" w:w="408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Noms et nombre de voix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Pour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(noms non requis)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Contre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 ; NOM : tantièmes]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Abstention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tantièmes]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Assimilés défaillants (vote par correspondance)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 xml:space="preserve">Résultat : </w:t>
      </w:r>
      <w:r>
        <w:t>[adoptée / rejetée] à la majorité de l'article [n°]</w:t>
      </w:r>
    </w:p>
    <w:p>
      <w:pPr>
        <w:spacing w:after="80"/>
      </w:pPr>
      <w:r>
        <w:rPr>
          <w:b/>
        </w:rPr>
        <w:t xml:space="preserve">Résolution n° 2 : </w:t>
      </w:r>
      <w:r>
        <w:t>[intitulé de la question inscrite à l'ordre du jour]</w:t>
      </w:r>
    </w:p>
    <w:p>
      <w:pPr>
        <w:spacing w:after="80"/>
      </w:pPr>
      <w:r>
        <w:rPr>
          <w:b/>
        </w:rPr>
        <w:t xml:space="preserve">Texte soumis au vote : </w:t>
      </w:r>
      <w:r>
        <w:t>[rédaction exacte]</w:t>
      </w:r>
    </w:p>
    <w:p>
      <w:pPr>
        <w:spacing w:after="80"/>
      </w:pPr>
      <w:r>
        <w:rPr>
          <w:b/>
        </w:rPr>
        <w:t xml:space="preserve">Majorité applicable : </w:t>
      </w:r>
      <w:r>
        <w:t>[article 24 / article 25 / article 26 de la loi du 10 juillet 1965 / unanimité]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1587"/>
        <w:gridCol w:w="1361"/>
        <w:gridCol w:w="4082"/>
      </w:tblGrid>
      <w:tr>
        <w:tc>
          <w:tcPr>
            <w:tcW w:type="dxa" w:w="260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Vote</w:t>
            </w:r>
          </w:p>
        </w:tc>
        <w:tc>
          <w:tcPr>
            <w:tcW w:type="dxa" w:w="158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Copropriétaires</w:t>
            </w:r>
          </w:p>
        </w:tc>
        <w:tc>
          <w:tcPr>
            <w:tcW w:type="dxa" w:w="136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Tantièmes</w:t>
            </w:r>
          </w:p>
        </w:tc>
        <w:tc>
          <w:tcPr>
            <w:tcW w:type="dxa" w:w="4082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Noms et nombre de voix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Pour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(noms non requis)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Contre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 ; NOM : tantièmes]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Abstention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tantièmes]</w:t>
            </w:r>
          </w:p>
        </w:tc>
      </w:tr>
      <w:tr>
        <w:tc>
          <w:tcPr>
            <w:tcW w:type="dxa" w:w="26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Assimilés défaillants (vote par correspondance)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36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408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[NOM : tantièmes]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</w:rPr>
        <w:t xml:space="preserve">Résultat : </w:t>
      </w:r>
      <w:r>
        <w:t>[adoptée / rejetée] à la majorité de l'article [n°]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5. Réserves et incidents</w:t>
      </w:r>
    </w:p>
    <w:p>
      <w:pPr>
        <w:spacing w:after="80"/>
      </w:pPr>
      <w:r>
        <w:rPr>
          <w:b/>
        </w:rPr>
        <w:t xml:space="preserve">Réserves formulées sur la régularité des décisions : </w:t>
      </w:r>
      <w:r>
        <w:t>[néant / nom du copropriétaire et texte de la réserve]</w:t>
      </w:r>
    </w:p>
    <w:p>
      <w:pPr>
        <w:spacing w:after="80"/>
      </w:pPr>
      <w:r>
        <w:rPr>
          <w:b/>
        </w:rPr>
        <w:t xml:space="preserve">Incidents techniques ayant empêché un vote à distance : </w:t>
      </w:r>
      <w:r>
        <w:t>[néant / description]</w:t>
      </w:r>
    </w:p>
    <w:p>
      <w:pPr>
        <w:spacing w:after="80"/>
      </w:pPr>
      <w:r>
        <w:rPr>
          <w:b/>
        </w:rPr>
        <w:t xml:space="preserve">Demandes de conservation de la voie postale pour les notifications : </w:t>
      </w:r>
      <w:r>
        <w:t>[néant / noms]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6. Clôture et signatures</w:t>
      </w:r>
    </w:p>
    <w:p>
      <w:pPr>
        <w:spacing w:after="120"/>
      </w:pPr>
      <w:r>
        <w:t>L'ordre du jour étant épuisé, la séance est levée à [HHhMM].</w:t>
      </w:r>
    </w:p>
    <w:p>
      <w:pPr>
        <w:spacing w:after="120"/>
      </w:pPr>
      <w:r>
        <w:rPr>
          <w:i/>
          <w:color w:val="595959"/>
          <w:sz w:val="20"/>
        </w:rPr>
        <w:t>Le procès-verbal est signé à la fin de la séance, ou dans les 8 jours qui suivent, par le président, le secrétaire et le ou les scrutateurs (article 17 du décret).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Président(e) de séance</w:t>
            </w:r>
          </w:p>
        </w:tc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Secrétaire</w:t>
            </w:r>
          </w:p>
        </w:tc>
        <w:tc>
          <w:tcPr>
            <w:tcW w:type="dxa" w:w="3213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Scrutateur(s)</w:t>
            </w:r>
          </w:p>
        </w:tc>
      </w:tr>
      <w:tr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</w:tr>
      <w:tr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32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7. Notification</w:t>
      </w:r>
    </w:p>
    <w:p>
      <w:pPr>
        <w:spacing w:after="120"/>
      </w:pPr>
      <w:r>
        <w:t>Le syndic notifie le procès-verbal, sans ses annexes, aux copropriétaires opposants ou défaillants dans le délai d'un mois à compter de la tenue de l'assemblée.</w:t>
      </w:r>
    </w:p>
    <w:p>
      <w:pPr>
        <w:spacing w:after="120"/>
      </w:pPr>
      <w:r>
        <w:rPr>
          <w:i/>
          <w:color w:val="595959"/>
          <w:sz w:val="20"/>
        </w:rPr>
        <w:t>La notification doit reproduire le texte de l'article 42, alinéa 2, de la loi du 10 juillet 1965 (article 18 du décret) : copiez la version en vigueur sur Légifrance. Les copropriétaires opposants ou défaillants disposent de 2 mois à compter de cette notification pour contester une décision devant le tribunal judiciaire du lieu de l'immeuble.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>Modèle gratuit Gilbert · gilbert-assistant.fr/modeles · À adapter à votre règlement de copropriété.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